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7D" w:rsidRPr="005A26E7" w:rsidRDefault="0017327D" w:rsidP="0017327D">
      <w:pPr>
        <w:tabs>
          <w:tab w:val="left" w:pos="26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26E7">
        <w:rPr>
          <w:rFonts w:ascii="Times New Roman" w:eastAsia="Times New Roman" w:hAnsi="Times New Roman" w:cs="Times New Roman"/>
          <w:noProof/>
          <w:sz w:val="26"/>
          <w:szCs w:val="26"/>
          <w:lang w:val="en-US"/>
        </w:rPr>
        <w:drawing>
          <wp:inline distT="0" distB="0" distL="0" distR="0">
            <wp:extent cx="1112520" cy="1153160"/>
            <wp:effectExtent l="0" t="0" r="0" b="889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59" b="4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27D" w:rsidRPr="005A26E7" w:rsidRDefault="00B22CCA" w:rsidP="00173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REPUBLIKA</w:t>
      </w:r>
      <w:r w:rsidR="0017327D" w:rsidRPr="005A26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SRPSKA</w:t>
      </w:r>
    </w:p>
    <w:p w:rsidR="0017327D" w:rsidRPr="005A26E7" w:rsidRDefault="00B22CCA" w:rsidP="00173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</w:rPr>
        <w:t>VLADA</w:t>
      </w:r>
    </w:p>
    <w:p w:rsidR="0017327D" w:rsidRPr="005A26E7" w:rsidRDefault="00B22CCA" w:rsidP="0017327D">
      <w:pPr>
        <w:keepNext/>
        <w:pBdr>
          <w:bottom w:val="single" w:sz="6" w:space="1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MINISTARSTVO</w:t>
      </w:r>
      <w:r w:rsidR="0017327D" w:rsidRPr="005A26E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PRIVREDE</w:t>
      </w:r>
      <w:r w:rsidR="0017327D" w:rsidRPr="005A26E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I</w:t>
      </w:r>
      <w:r w:rsidR="0017327D" w:rsidRPr="005A26E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PREDUZETNIŠTVA</w:t>
      </w:r>
    </w:p>
    <w:tbl>
      <w:tblPr>
        <w:tblW w:w="9525" w:type="dxa"/>
        <w:jc w:val="center"/>
        <w:tblLook w:val="04A0" w:firstRow="1" w:lastRow="0" w:firstColumn="1" w:lastColumn="0" w:noHBand="0" w:noVBand="1"/>
      </w:tblPr>
      <w:tblGrid>
        <w:gridCol w:w="9525"/>
      </w:tblGrid>
      <w:tr w:rsidR="0017327D" w:rsidRPr="005A26E7" w:rsidTr="00415644">
        <w:trPr>
          <w:trHeight w:val="186"/>
          <w:jc w:val="center"/>
        </w:trPr>
        <w:tc>
          <w:tcPr>
            <w:tcW w:w="9525" w:type="dxa"/>
          </w:tcPr>
          <w:p w:rsidR="0017327D" w:rsidRPr="005A26E7" w:rsidRDefault="00B22CCA" w:rsidP="00162517">
            <w:pPr>
              <w:spacing w:after="0" w:line="240" w:lineRule="auto"/>
              <w:ind w:left="-223" w:right="-18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Trg</w:t>
            </w:r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Republike</w:t>
            </w:r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Srpske</w:t>
            </w:r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Banja</w:t>
            </w:r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Luka</w:t>
            </w:r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tel</w:t>
            </w:r>
            <w:r w:rsidR="00162517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051/338-642,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faks</w:t>
            </w:r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051/338-847; </w:t>
            </w:r>
            <w:proofErr w:type="spellStart"/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>e-mail</w:t>
            </w:r>
            <w:proofErr w:type="spellEnd"/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>mpp</w:t>
            </w:r>
            <w:proofErr w:type="spellEnd"/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>mpp.vladars.rs</w:t>
            </w:r>
            <w:proofErr w:type="spellEnd"/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="0017327D" w:rsidRPr="005A26E7">
              <w:rPr>
                <w:rFonts w:ascii="Times New Roman" w:eastAsia="Times New Roman" w:hAnsi="Times New Roman" w:cs="Times New Roman"/>
                <w:sz w:val="18"/>
                <w:szCs w:val="18"/>
              </w:rPr>
              <w:t>www.vladars.rs</w:t>
            </w:r>
            <w:proofErr w:type="spellEnd"/>
          </w:p>
        </w:tc>
      </w:tr>
    </w:tbl>
    <w:p w:rsidR="0017327D" w:rsidRPr="005A26E7" w:rsidRDefault="0017327D" w:rsidP="001732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17327D" w:rsidRPr="005A26E7" w:rsidRDefault="00B22CCA" w:rsidP="001732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Broj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17327D" w:rsidRPr="005A26E7" w:rsidRDefault="00B22CCA" w:rsidP="001732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Datum</w:t>
      </w:r>
      <w:r w:rsidR="000A160C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18.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jul</w:t>
      </w:r>
      <w:r w:rsidR="000A160C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2024.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godine</w:t>
      </w:r>
    </w:p>
    <w:p w:rsidR="0017327D" w:rsidRPr="005A26E7" w:rsidRDefault="0017327D" w:rsidP="001732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17327D" w:rsidRPr="005A26E7" w:rsidRDefault="00B22CCA" w:rsidP="001732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privrede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preduzetništva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postupajući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skladu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članom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198.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4. </w:t>
      </w:r>
      <w:r>
        <w:rPr>
          <w:rFonts w:ascii="Times New Roman" w:hAnsi="Times New Roman" w:cs="Times New Roman"/>
          <w:sz w:val="24"/>
          <w:szCs w:val="24"/>
        </w:rPr>
        <w:t>Poslovnika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Narodne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66/20),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vezi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Zaklјučkom</w:t>
      </w:r>
      <w:proofErr w:type="spellEnd"/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Narodne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: 02/1-021-281/24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Osme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redovne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sjednice</w:t>
      </w:r>
      <w:r w:rsidR="00162517" w:rsidRPr="005A26E7">
        <w:rPr>
          <w:rFonts w:ascii="Times New Roman" w:hAnsi="Times New Roman" w:cs="Times New Roman"/>
          <w:sz w:val="24"/>
          <w:szCs w:val="24"/>
        </w:rPr>
        <w:t>,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održane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14. </w:t>
      </w:r>
      <w:r>
        <w:rPr>
          <w:rFonts w:ascii="Times New Roman" w:hAnsi="Times New Roman" w:cs="Times New Roman"/>
          <w:sz w:val="24"/>
          <w:szCs w:val="24"/>
        </w:rPr>
        <w:t>marta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2024.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162517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nakon</w:t>
      </w:r>
      <w:r w:rsidR="00162517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sprovedene</w:t>
      </w:r>
      <w:r w:rsidR="00162517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rasprave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Nacrtu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samostalnim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preduzetnicima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dostavlјa</w:t>
      </w:r>
      <w:proofErr w:type="spellEnd"/>
    </w:p>
    <w:p w:rsidR="0017327D" w:rsidRPr="005A26E7" w:rsidRDefault="0017327D" w:rsidP="001732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17327D" w:rsidRPr="00F8223B" w:rsidRDefault="00B22CCA" w:rsidP="001732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IZVJEŠTAJ</w:t>
      </w:r>
    </w:p>
    <w:p w:rsidR="000C4E05" w:rsidRPr="00F8223B" w:rsidRDefault="000C4E05" w:rsidP="001732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822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="00B22C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O</w:t>
      </w:r>
      <w:r w:rsidRPr="00F822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22C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REZULTATIMA</w:t>
      </w:r>
      <w:r w:rsidRPr="00F822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22C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JAVNE</w:t>
      </w:r>
      <w:r w:rsidRPr="00F822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22C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RASPRAVE</w:t>
      </w:r>
      <w:r w:rsidRPr="00F822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22C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O</w:t>
      </w:r>
      <w:r w:rsidRPr="00F822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22C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NACRTU</w:t>
      </w:r>
      <w:r w:rsidRPr="00F822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22C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ZAKONA</w:t>
      </w:r>
      <w:r w:rsidRPr="00F822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22C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O</w:t>
      </w:r>
      <w:r w:rsidRPr="00F822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17327D" w:rsidRPr="00F8223B" w:rsidRDefault="00B22CCA" w:rsidP="001732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SAMOSTALNIM</w:t>
      </w:r>
      <w:r w:rsidR="000C4E05" w:rsidRPr="00F822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PREDUZETNICIMA</w:t>
      </w:r>
    </w:p>
    <w:p w:rsidR="0017327D" w:rsidRPr="005A26E7" w:rsidRDefault="0017327D" w:rsidP="0017327D">
      <w:pPr>
        <w:spacing w:after="0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162517" w:rsidRPr="005A26E7" w:rsidRDefault="00B22CCA" w:rsidP="00162517">
      <w:pPr>
        <w:pStyle w:val="NoSpacing"/>
        <w:tabs>
          <w:tab w:val="clear" w:pos="720"/>
        </w:tabs>
        <w:spacing w:before="0" w:after="0" w:line="240" w:lineRule="auto"/>
        <w:ind w:firstLine="709"/>
        <w:jc w:val="both"/>
        <w:rPr>
          <w:lang w:val="sr-Cyrl-BA"/>
        </w:rPr>
      </w:pPr>
      <w:r>
        <w:rPr>
          <w:lang w:val="sr-Cyrl-BA"/>
        </w:rPr>
        <w:t>Narodna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skupština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Republike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Srpske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je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na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Osmoj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redovnoj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sjednici</w:t>
      </w:r>
      <w:r w:rsidR="00162517" w:rsidRPr="005A26E7">
        <w:rPr>
          <w:lang w:val="sr-Cyrl-BA"/>
        </w:rPr>
        <w:t>,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održanoj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od</w:t>
      </w:r>
      <w:r w:rsidR="0017327D" w:rsidRPr="005A26E7">
        <w:rPr>
          <w:lang w:val="sr-Cyrl-BA"/>
        </w:rPr>
        <w:t xml:space="preserve"> 12. </w:t>
      </w:r>
      <w:r>
        <w:rPr>
          <w:lang w:val="sr-Cyrl-BA"/>
        </w:rPr>
        <w:t>do</w:t>
      </w:r>
      <w:r w:rsidR="0017327D" w:rsidRPr="005A26E7">
        <w:rPr>
          <w:lang w:val="sr-Cyrl-BA"/>
        </w:rPr>
        <w:t xml:space="preserve"> 14. </w:t>
      </w:r>
      <w:r>
        <w:rPr>
          <w:lang w:val="sr-Cyrl-BA"/>
        </w:rPr>
        <w:t>marta</w:t>
      </w:r>
      <w:r w:rsidR="0017327D" w:rsidRPr="005A26E7">
        <w:rPr>
          <w:lang w:val="sr-Cyrl-BA"/>
        </w:rPr>
        <w:t xml:space="preserve"> 2024. </w:t>
      </w:r>
      <w:r>
        <w:rPr>
          <w:lang w:val="sr-Cyrl-BA"/>
        </w:rPr>
        <w:t>godine</w:t>
      </w:r>
      <w:r w:rsidR="0017327D" w:rsidRPr="005A26E7">
        <w:rPr>
          <w:lang w:val="sr-Cyrl-BA"/>
        </w:rPr>
        <w:t xml:space="preserve">, </w:t>
      </w:r>
      <w:r>
        <w:rPr>
          <w:lang w:val="sr-Cyrl-BA"/>
        </w:rPr>
        <w:t>usvojila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Nacrt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zakona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samostalnim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preduzetnicima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donijela</w:t>
      </w:r>
      <w:r w:rsidR="0017327D" w:rsidRPr="005A26E7">
        <w:rPr>
          <w:lang w:val="sr-Cyrl-BA"/>
        </w:rPr>
        <w:t xml:space="preserve"> </w:t>
      </w:r>
      <w:proofErr w:type="spellStart"/>
      <w:r>
        <w:rPr>
          <w:lang w:val="sr-Cyrl-BA"/>
        </w:rPr>
        <w:t>Zaklјučak</w:t>
      </w:r>
      <w:proofErr w:type="spellEnd"/>
      <w:r w:rsidR="0017327D" w:rsidRPr="005A26E7">
        <w:rPr>
          <w:lang w:val="sr-Cyrl-BA"/>
        </w:rPr>
        <w:t xml:space="preserve"> </w:t>
      </w:r>
      <w:r>
        <w:rPr>
          <w:lang w:val="sr-Cyrl-BA"/>
        </w:rPr>
        <w:t>broj</w:t>
      </w:r>
      <w:r w:rsidR="0017327D" w:rsidRPr="005A26E7">
        <w:rPr>
          <w:lang w:val="sr-Cyrl-BA"/>
        </w:rPr>
        <w:t xml:space="preserve">: 02/1-021-281/24 </w:t>
      </w:r>
      <w:r>
        <w:rPr>
          <w:lang w:val="sr-Cyrl-BA"/>
        </w:rPr>
        <w:t>od</w:t>
      </w:r>
      <w:r w:rsidR="0017327D" w:rsidRPr="005A26E7">
        <w:rPr>
          <w:lang w:val="sr-Cyrl-BA"/>
        </w:rPr>
        <w:t xml:space="preserve"> 14. </w:t>
      </w:r>
      <w:r>
        <w:rPr>
          <w:lang w:val="sr-Cyrl-BA"/>
        </w:rPr>
        <w:t>marta</w:t>
      </w:r>
      <w:r w:rsidR="0017327D" w:rsidRPr="005A26E7">
        <w:rPr>
          <w:lang w:val="sr-Cyrl-BA"/>
        </w:rPr>
        <w:t xml:space="preserve"> 2024. </w:t>
      </w:r>
      <w:r>
        <w:rPr>
          <w:lang w:val="sr-Cyrl-BA"/>
        </w:rPr>
        <w:t>godine</w:t>
      </w:r>
      <w:r w:rsidR="0017327D" w:rsidRPr="005A26E7">
        <w:rPr>
          <w:lang w:val="sr-Cyrl-BA"/>
        </w:rPr>
        <w:t xml:space="preserve">, </w:t>
      </w:r>
      <w:r>
        <w:rPr>
          <w:lang w:val="sr-Cyrl-BA"/>
        </w:rPr>
        <w:t>koji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je</w:t>
      </w:r>
      <w:r w:rsidR="0017327D" w:rsidRPr="005A26E7">
        <w:rPr>
          <w:lang w:val="sr-Cyrl-BA"/>
        </w:rPr>
        <w:t xml:space="preserve"> </w:t>
      </w:r>
      <w:proofErr w:type="spellStart"/>
      <w:r>
        <w:rPr>
          <w:lang w:val="sr-Cyrl-BA"/>
        </w:rPr>
        <w:t>objavlјen</w:t>
      </w:r>
      <w:proofErr w:type="spellEnd"/>
      <w:r w:rsidR="0017327D" w:rsidRPr="005A26E7">
        <w:rPr>
          <w:lang w:val="sr-Cyrl-BA"/>
        </w:rPr>
        <w:t xml:space="preserve"> </w:t>
      </w:r>
      <w:r>
        <w:rPr>
          <w:lang w:val="sr-Cyrl-BA"/>
        </w:rPr>
        <w:t>u</w:t>
      </w:r>
      <w:r w:rsidR="0017327D" w:rsidRPr="005A26E7">
        <w:rPr>
          <w:lang w:val="sr-Cyrl-BA"/>
        </w:rPr>
        <w:t xml:space="preserve"> „</w:t>
      </w:r>
      <w:r>
        <w:rPr>
          <w:lang w:val="sr-Cyrl-BA"/>
        </w:rPr>
        <w:t>Službenom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glasniku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Republike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Srpske</w:t>
      </w:r>
      <w:r w:rsidR="0017327D" w:rsidRPr="005A26E7">
        <w:rPr>
          <w:lang w:val="sr-Cyrl-BA"/>
        </w:rPr>
        <w:t xml:space="preserve">“, </w:t>
      </w:r>
      <w:r>
        <w:rPr>
          <w:lang w:val="sr-Cyrl-BA"/>
        </w:rPr>
        <w:t>broj</w:t>
      </w:r>
      <w:r w:rsidR="0017327D" w:rsidRPr="005A26E7">
        <w:rPr>
          <w:lang w:val="sr-Cyrl-BA"/>
        </w:rPr>
        <w:t xml:space="preserve"> 24/24. </w:t>
      </w:r>
      <w:r>
        <w:rPr>
          <w:lang w:val="sr-Cyrl-BA"/>
        </w:rPr>
        <w:t>Ovim</w:t>
      </w:r>
      <w:r w:rsidR="0017327D" w:rsidRPr="005A26E7">
        <w:rPr>
          <w:lang w:val="sr-Cyrl-BA"/>
        </w:rPr>
        <w:t xml:space="preserve"> </w:t>
      </w:r>
      <w:proofErr w:type="spellStart"/>
      <w:r>
        <w:rPr>
          <w:lang w:val="sr-Cyrl-BA"/>
        </w:rPr>
        <w:t>zaklјučkom</w:t>
      </w:r>
      <w:proofErr w:type="spellEnd"/>
      <w:r w:rsidR="0017327D" w:rsidRPr="005A26E7">
        <w:rPr>
          <w:lang w:val="sr-Cyrl-BA"/>
        </w:rPr>
        <w:t xml:space="preserve"> </w:t>
      </w:r>
      <w:r>
        <w:rPr>
          <w:lang w:val="sr-Cyrl-BA"/>
        </w:rPr>
        <w:t>odlučeno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je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da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Nacrt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zakona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samostalnim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preduzetnicima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uputi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na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javnu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raspravu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jer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navedenim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nacrtom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zakona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uređuju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pitanja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koja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od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posebnog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značaja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za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građane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kojima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je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neophodno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da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konsultuju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organi</w:t>
      </w:r>
      <w:r w:rsidR="0017327D" w:rsidRPr="005A26E7">
        <w:rPr>
          <w:lang w:val="sr-Cyrl-BA"/>
        </w:rPr>
        <w:t xml:space="preserve">, </w:t>
      </w:r>
      <w:r>
        <w:rPr>
          <w:lang w:val="sr-Cyrl-BA"/>
        </w:rPr>
        <w:t>organizacije</w:t>
      </w:r>
      <w:r w:rsidR="0017327D" w:rsidRPr="005A26E7">
        <w:rPr>
          <w:lang w:val="sr-Cyrl-BA"/>
        </w:rPr>
        <w:t xml:space="preserve">, </w:t>
      </w:r>
      <w:r>
        <w:rPr>
          <w:lang w:val="sr-Cyrl-BA"/>
        </w:rPr>
        <w:t>naučne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stručne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institucije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zainteresovani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građani</w:t>
      </w:r>
      <w:r w:rsidR="0017327D" w:rsidRPr="005A26E7">
        <w:rPr>
          <w:lang w:val="sr-Cyrl-BA"/>
        </w:rPr>
        <w:t xml:space="preserve">. </w:t>
      </w:r>
    </w:p>
    <w:p w:rsidR="0017327D" w:rsidRPr="005A26E7" w:rsidRDefault="00B22CCA" w:rsidP="00162517">
      <w:pPr>
        <w:pStyle w:val="NoSpacing"/>
        <w:tabs>
          <w:tab w:val="clear" w:pos="720"/>
        </w:tabs>
        <w:spacing w:before="0" w:after="0" w:line="240" w:lineRule="auto"/>
        <w:ind w:firstLine="709"/>
        <w:jc w:val="both"/>
        <w:rPr>
          <w:lang w:val="sr-Cyrl-BA"/>
        </w:rPr>
      </w:pPr>
      <w:r>
        <w:rPr>
          <w:lang w:val="sr-Cyrl-BA"/>
        </w:rPr>
        <w:t>Istim</w:t>
      </w:r>
      <w:r w:rsidR="0017327D" w:rsidRPr="005A26E7">
        <w:rPr>
          <w:lang w:val="sr-Cyrl-BA"/>
        </w:rPr>
        <w:t xml:space="preserve"> </w:t>
      </w:r>
      <w:proofErr w:type="spellStart"/>
      <w:r>
        <w:rPr>
          <w:lang w:val="sr-Cyrl-BA"/>
        </w:rPr>
        <w:t>zaklјučkom</w:t>
      </w:r>
      <w:proofErr w:type="spellEnd"/>
      <w:r w:rsidR="0017327D" w:rsidRPr="005A26E7">
        <w:rPr>
          <w:lang w:val="sr-Cyrl-BA"/>
        </w:rPr>
        <w:t xml:space="preserve"> </w:t>
      </w:r>
      <w:r>
        <w:rPr>
          <w:lang w:val="sr-Cyrl-BA"/>
        </w:rPr>
        <w:t>zaduženo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je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Ministarstvo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privrede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preduzetništva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da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roku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od</w:t>
      </w:r>
      <w:r w:rsidR="0017327D" w:rsidRPr="005A26E7">
        <w:rPr>
          <w:lang w:val="sr-Cyrl-BA"/>
        </w:rPr>
        <w:t xml:space="preserve"> 30 </w:t>
      </w:r>
      <w:r>
        <w:rPr>
          <w:lang w:val="sr-Cyrl-BA"/>
        </w:rPr>
        <w:t>dana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organizuje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sprovede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javnu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raspravu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navedenom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nacrtu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zakona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uz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tekst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Prijedloga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zakona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Narodnoj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skupštini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dostavi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izvještaj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rezultatima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javne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rasprave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sa</w:t>
      </w:r>
      <w:r w:rsidR="0017327D" w:rsidRPr="005A26E7">
        <w:rPr>
          <w:lang w:val="sr-Cyrl-BA"/>
        </w:rPr>
        <w:t xml:space="preserve"> </w:t>
      </w:r>
      <w:proofErr w:type="spellStart"/>
      <w:r>
        <w:rPr>
          <w:lang w:val="sr-Cyrl-BA"/>
        </w:rPr>
        <w:t>mišlјenjima</w:t>
      </w:r>
      <w:proofErr w:type="spellEnd"/>
      <w:r w:rsidR="0017327D" w:rsidRPr="005A26E7">
        <w:rPr>
          <w:lang w:val="sr-Cyrl-BA"/>
        </w:rPr>
        <w:t xml:space="preserve"> </w:t>
      </w:r>
      <w:r>
        <w:rPr>
          <w:lang w:val="sr-Cyrl-BA"/>
        </w:rPr>
        <w:t>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prijedlozima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iznesenim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toj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raspravi</w:t>
      </w:r>
      <w:r w:rsidR="0017327D" w:rsidRPr="005A26E7">
        <w:rPr>
          <w:lang w:val="sr-Cyrl-BA"/>
        </w:rPr>
        <w:t>.</w:t>
      </w:r>
    </w:p>
    <w:p w:rsidR="0017327D" w:rsidRPr="005A26E7" w:rsidRDefault="0017327D" w:rsidP="00162517">
      <w:pPr>
        <w:pStyle w:val="NoSpacing"/>
        <w:tabs>
          <w:tab w:val="clear" w:pos="720"/>
        </w:tabs>
        <w:spacing w:before="0" w:after="0" w:line="240" w:lineRule="auto"/>
        <w:ind w:firstLine="709"/>
        <w:jc w:val="both"/>
        <w:rPr>
          <w:lang w:val="sr-Cyrl-BA"/>
        </w:rPr>
      </w:pPr>
    </w:p>
    <w:p w:rsidR="0017327D" w:rsidRPr="005A26E7" w:rsidRDefault="00B22CCA" w:rsidP="00162517">
      <w:pPr>
        <w:pStyle w:val="NoSpacing"/>
        <w:tabs>
          <w:tab w:val="clear" w:pos="720"/>
        </w:tabs>
        <w:spacing w:before="0" w:after="0" w:line="240" w:lineRule="auto"/>
        <w:ind w:firstLine="709"/>
        <w:jc w:val="both"/>
        <w:rPr>
          <w:lang w:val="sr-Cyrl-BA"/>
        </w:rPr>
      </w:pPr>
      <w:r>
        <w:rPr>
          <w:lang w:val="sr-Cyrl-BA"/>
        </w:rPr>
        <w:t>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organizaciji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privrede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i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preduzetništva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javna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rasprava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Nacrtu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zakona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o</w:t>
      </w:r>
      <w:r w:rsidR="00BD4382" w:rsidRPr="005A26E7">
        <w:rPr>
          <w:lang w:val="sr-Cyrl-BA"/>
        </w:rPr>
        <w:t xml:space="preserve"> </w:t>
      </w:r>
      <w:r>
        <w:rPr>
          <w:lang w:val="sr-Cyrl-BA"/>
        </w:rPr>
        <w:t>samostalnim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preduzetnicima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sprovedena</w:t>
      </w:r>
      <w:r w:rsidR="00162517" w:rsidRPr="005A26E7">
        <w:rPr>
          <w:lang w:val="sr-Cyrl-BA"/>
        </w:rPr>
        <w:t xml:space="preserve"> </w:t>
      </w:r>
      <w:r>
        <w:rPr>
          <w:lang w:val="sr-Cyrl-BA"/>
        </w:rPr>
        <w:t>je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u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šest</w:t>
      </w:r>
      <w:r w:rsidR="0017327D" w:rsidRPr="005A26E7">
        <w:rPr>
          <w:lang w:val="sr-Cyrl-BA"/>
        </w:rPr>
        <w:t xml:space="preserve"> </w:t>
      </w:r>
      <w:r>
        <w:rPr>
          <w:lang w:val="sr-Cyrl-BA"/>
        </w:rPr>
        <w:t>gradova</w:t>
      </w:r>
      <w:r w:rsidR="0017327D" w:rsidRPr="005A26E7">
        <w:rPr>
          <w:lang w:val="sr-Cyrl-BA"/>
        </w:rPr>
        <w:t>:</w:t>
      </w:r>
    </w:p>
    <w:p w:rsidR="0017327D" w:rsidRPr="005A26E7" w:rsidRDefault="00B22CCA" w:rsidP="0017327D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Grad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Trebinje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7.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mart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2024.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godine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sala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Skupštine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grada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Vuka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Karadžića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raspravi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je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prisustvovalo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14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učesnika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:rsidR="0017327D" w:rsidRPr="005A26E7" w:rsidRDefault="00B22CCA" w:rsidP="0017327D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Grad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Istočno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Sarajevo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28.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mart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2024.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godine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sala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Skupštine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grada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Stefana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Nemanje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14,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raspravi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je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prisustvovalo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19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učesnika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:rsidR="0017327D" w:rsidRPr="005A26E7" w:rsidRDefault="00B22CCA" w:rsidP="0017327D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Grad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Doboj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april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2024.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godine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zgrada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Slobomir</w:t>
      </w:r>
      <w:proofErr w:type="spellEnd"/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Univerziteta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Svetog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Save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raspravi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je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prisustvovalo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učesnika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:rsidR="0017327D" w:rsidRPr="005A26E7" w:rsidRDefault="00B22CCA" w:rsidP="0017327D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Grad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Bijelјina</w:t>
      </w:r>
      <w:proofErr w:type="spellEnd"/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5.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april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2024.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godine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sala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Skupštine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Trg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kralјa</w:t>
      </w:r>
      <w:proofErr w:type="spellEnd"/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Petra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Karađorđevića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raspravi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su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prisustvovala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22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učesnika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:rsidR="0017327D" w:rsidRPr="005A26E7" w:rsidRDefault="00B22CCA" w:rsidP="0017327D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Grad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Prijedor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8.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april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2024.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godine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sala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Skupštine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Trg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Oslobođenja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raspravi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su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prisustvovala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22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učesnika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</w:p>
    <w:p w:rsidR="0017327D" w:rsidRPr="005A26E7" w:rsidRDefault="00B22CCA" w:rsidP="0017327D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Grad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Banja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Luka</w:t>
      </w:r>
      <w:r w:rsidR="0017327D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BD4382" w:rsidRPr="005A26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10.</w:t>
      </w:r>
      <w:r w:rsidR="00BD4382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april</w:t>
      </w:r>
      <w:r w:rsidR="00BD4382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2024.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godine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sala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Privredne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komore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Republike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Srpske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raspravi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su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prisustvovala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52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učesnika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7327D" w:rsidRPr="005A26E7" w:rsidRDefault="0017327D" w:rsidP="0017327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17327D" w:rsidRPr="005A26E7" w:rsidRDefault="00B22CCA" w:rsidP="00162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javnoj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raspravi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učestvovali</w:t>
      </w:r>
      <w:r w:rsidR="008348B3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 w:rsidR="008348B3" w:rsidRPr="005A26E7">
        <w:rPr>
          <w:rFonts w:ascii="Times New Roman" w:hAnsi="Times New Roman" w:cs="Times New Roman"/>
          <w:sz w:val="24"/>
          <w:szCs w:val="24"/>
        </w:rPr>
        <w:t>: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predstavnici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registracionih</w:t>
      </w:r>
      <w:proofErr w:type="spellEnd"/>
      <w:r w:rsidR="0017327D" w:rsidRPr="005A26E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inspekcijskih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poreskih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Zanatsko</w:t>
      </w:r>
      <w:r w:rsidR="0017327D" w:rsidRPr="005A26E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preduzetničke</w:t>
      </w:r>
      <w:proofErr w:type="spellEnd"/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komore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samostalni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preduzetnici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ukupno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prisustvovalo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149 </w:t>
      </w:r>
      <w:r>
        <w:rPr>
          <w:rFonts w:ascii="Times New Roman" w:hAnsi="Times New Roman" w:cs="Times New Roman"/>
          <w:sz w:val="24"/>
          <w:szCs w:val="24"/>
        </w:rPr>
        <w:t>lica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327D" w:rsidRPr="005A26E7" w:rsidRDefault="0017327D" w:rsidP="00162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27D" w:rsidRPr="005A26E7" w:rsidRDefault="00B22CCA" w:rsidP="00162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toku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javne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rasprave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svi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učesnici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su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imali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priliku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ispune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upitnik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vezi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bitnim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pitanjima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koja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se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uređuju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Zakonom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Upitnik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je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ispunilo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122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učesnika</w:t>
      </w:r>
      <w:r w:rsidR="008348B3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="008348B3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tabeli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koja</w:t>
      </w:r>
      <w:r w:rsidR="008348B3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slijedi</w:t>
      </w:r>
      <w:r w:rsidR="008348B3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dat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je</w:t>
      </w:r>
      <w:r w:rsidR="008348B3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pregled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odgovora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učesnika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postavlјena</w:t>
      </w:r>
      <w:proofErr w:type="spellEnd"/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pitanja</w:t>
      </w:r>
      <w:r w:rsidR="008348B3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17327D" w:rsidRPr="005A26E7" w:rsidRDefault="0017327D" w:rsidP="0017327D">
      <w:pPr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leGrid"/>
        <w:tblW w:w="9862" w:type="dxa"/>
        <w:tblInd w:w="-147" w:type="dxa"/>
        <w:tblLook w:val="04A0" w:firstRow="1" w:lastRow="0" w:firstColumn="1" w:lastColumn="0" w:noHBand="0" w:noVBand="1"/>
      </w:tblPr>
      <w:tblGrid>
        <w:gridCol w:w="611"/>
        <w:gridCol w:w="6735"/>
        <w:gridCol w:w="1258"/>
        <w:gridCol w:w="1258"/>
      </w:tblGrid>
      <w:tr w:rsidR="0017327D" w:rsidRPr="005A26E7" w:rsidTr="00415644">
        <w:tc>
          <w:tcPr>
            <w:tcW w:w="568" w:type="dxa"/>
          </w:tcPr>
          <w:p w:rsidR="00BD4382" w:rsidRPr="005A26E7" w:rsidRDefault="00B22CCA" w:rsidP="004156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Red</w:t>
            </w:r>
            <w:r w:rsidR="00BD4382" w:rsidRPr="005A26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  <w:p w:rsidR="0017327D" w:rsidRPr="005A26E7" w:rsidRDefault="00B22CCA" w:rsidP="00BD4382">
            <w:pPr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broj</w:t>
            </w:r>
          </w:p>
        </w:tc>
        <w:tc>
          <w:tcPr>
            <w:tcW w:w="6776" w:type="dxa"/>
          </w:tcPr>
          <w:p w:rsidR="0017327D" w:rsidRPr="005A26E7" w:rsidRDefault="00B22CCA" w:rsidP="00415644">
            <w:pPr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Pitanje</w:t>
            </w:r>
          </w:p>
        </w:tc>
        <w:tc>
          <w:tcPr>
            <w:tcW w:w="1259" w:type="dxa"/>
          </w:tcPr>
          <w:p w:rsidR="0017327D" w:rsidRPr="005A26E7" w:rsidRDefault="00B22CCA" w:rsidP="00415644">
            <w:pPr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Pozitivan</w:t>
            </w:r>
            <w:r w:rsidR="0017327D" w:rsidRPr="005A26E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odgovor</w:t>
            </w:r>
          </w:p>
        </w:tc>
        <w:tc>
          <w:tcPr>
            <w:tcW w:w="1259" w:type="dxa"/>
          </w:tcPr>
          <w:p w:rsidR="0017327D" w:rsidRPr="005A26E7" w:rsidRDefault="00B22CCA" w:rsidP="00415644">
            <w:pPr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Negativan</w:t>
            </w:r>
            <w:r w:rsidR="0017327D" w:rsidRPr="005A26E7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odgovor</w:t>
            </w:r>
          </w:p>
        </w:tc>
      </w:tr>
      <w:tr w:rsidR="0017327D" w:rsidRPr="005A26E7" w:rsidTr="00415644">
        <w:tc>
          <w:tcPr>
            <w:tcW w:w="568" w:type="dxa"/>
          </w:tcPr>
          <w:p w:rsidR="0017327D" w:rsidRPr="005A26E7" w:rsidRDefault="0017327D" w:rsidP="00415644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76" w:type="dxa"/>
          </w:tcPr>
          <w:p w:rsidR="0017327D" w:rsidRPr="005A26E7" w:rsidRDefault="00B22CCA" w:rsidP="00BD438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podržavate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prijedlog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–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jedno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fizičko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lice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jedan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.?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5%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25%</w:t>
            </w:r>
          </w:p>
        </w:tc>
      </w:tr>
      <w:tr w:rsidR="0017327D" w:rsidRPr="005A26E7" w:rsidTr="00415644">
        <w:tc>
          <w:tcPr>
            <w:tcW w:w="568" w:type="dxa"/>
          </w:tcPr>
          <w:p w:rsidR="0017327D" w:rsidRPr="005A26E7" w:rsidRDefault="0017327D" w:rsidP="00415644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76" w:type="dxa"/>
          </w:tcPr>
          <w:p w:rsidR="0017327D" w:rsidRPr="005A26E7" w:rsidRDefault="00B22CCA" w:rsidP="004156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podržavate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prijedlog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ukidanje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ortačkog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obavlјanja</w:t>
            </w:r>
            <w:proofErr w:type="spellEnd"/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djelatnosti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?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58%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42%</w:t>
            </w:r>
          </w:p>
        </w:tc>
      </w:tr>
      <w:tr w:rsidR="0017327D" w:rsidRPr="005A26E7" w:rsidTr="00415644">
        <w:tc>
          <w:tcPr>
            <w:tcW w:w="568" w:type="dxa"/>
          </w:tcPr>
          <w:p w:rsidR="0017327D" w:rsidRPr="005A26E7" w:rsidRDefault="0017327D" w:rsidP="00415644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76" w:type="dxa"/>
          </w:tcPr>
          <w:p w:rsidR="0017327D" w:rsidRPr="005A26E7" w:rsidRDefault="00B22CCA" w:rsidP="004156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podržavate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prijedlog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mogućnost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prenosa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poslovanja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jednog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na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drugo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lice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promjena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vlasnika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)?</w:t>
            </w:r>
          </w:p>
        </w:tc>
        <w:tc>
          <w:tcPr>
            <w:tcW w:w="1259" w:type="dxa"/>
          </w:tcPr>
          <w:p w:rsidR="0017327D" w:rsidRPr="005A26E7" w:rsidRDefault="00BD4382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86%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14%</w:t>
            </w:r>
          </w:p>
        </w:tc>
      </w:tr>
      <w:tr w:rsidR="0017327D" w:rsidRPr="005A26E7" w:rsidTr="00415644">
        <w:tc>
          <w:tcPr>
            <w:tcW w:w="568" w:type="dxa"/>
          </w:tcPr>
          <w:p w:rsidR="0017327D" w:rsidRPr="005A26E7" w:rsidRDefault="0017327D" w:rsidP="00415644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76" w:type="dxa"/>
          </w:tcPr>
          <w:p w:rsidR="0017327D" w:rsidRPr="005A26E7" w:rsidRDefault="00B22CCA" w:rsidP="00BD438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podržavate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prijedlog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rad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samouslužnih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automata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koji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stavlјaju</w:t>
            </w:r>
            <w:proofErr w:type="spellEnd"/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pogon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pomoću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novca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periodu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od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0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do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24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sata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?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2%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8%</w:t>
            </w:r>
          </w:p>
        </w:tc>
      </w:tr>
      <w:tr w:rsidR="0017327D" w:rsidRPr="005A26E7" w:rsidTr="00415644">
        <w:tc>
          <w:tcPr>
            <w:tcW w:w="568" w:type="dxa"/>
          </w:tcPr>
          <w:p w:rsidR="0017327D" w:rsidRPr="005A26E7" w:rsidRDefault="0017327D" w:rsidP="00415644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76" w:type="dxa"/>
          </w:tcPr>
          <w:p w:rsidR="0017327D" w:rsidRPr="005A26E7" w:rsidRDefault="00B22CCA" w:rsidP="00BD438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podržavate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prijedlog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povećanje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sezonskog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poslovanja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šest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na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devet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mjeseci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?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86%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14%</w:t>
            </w:r>
          </w:p>
        </w:tc>
      </w:tr>
      <w:tr w:rsidR="0017327D" w:rsidRPr="005A26E7" w:rsidTr="00415644">
        <w:tc>
          <w:tcPr>
            <w:tcW w:w="568" w:type="dxa"/>
          </w:tcPr>
          <w:p w:rsidR="0017327D" w:rsidRPr="005A26E7" w:rsidRDefault="0017327D" w:rsidP="00415644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76" w:type="dxa"/>
          </w:tcPr>
          <w:p w:rsidR="0017327D" w:rsidRPr="005A26E7" w:rsidRDefault="00B22CCA" w:rsidP="00BD438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podržavate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prijedlog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svim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preduzetnicima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pomoć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poslovanju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mogu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da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budu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članovi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porodičnog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domaćinstva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uzrasta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od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15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do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18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godina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penzioneri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?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96%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4%</w:t>
            </w:r>
          </w:p>
        </w:tc>
      </w:tr>
      <w:tr w:rsidR="0017327D" w:rsidRPr="005A26E7" w:rsidTr="00415644">
        <w:tc>
          <w:tcPr>
            <w:tcW w:w="568" w:type="dxa"/>
          </w:tcPr>
          <w:p w:rsidR="0017327D" w:rsidRPr="005A26E7" w:rsidRDefault="0017327D" w:rsidP="00415644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="00BD4382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76" w:type="dxa"/>
          </w:tcPr>
          <w:p w:rsidR="0017327D" w:rsidRPr="005A26E7" w:rsidRDefault="00B22CCA" w:rsidP="004156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ste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upoznati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radom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Zanatsko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preduzetničke</w:t>
            </w:r>
            <w:proofErr w:type="spellEnd"/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komore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na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zastupanju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interesa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samostalnih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preduzetnika</w:t>
            </w:r>
            <w:r w:rsidR="0017327D"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?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62%</w:t>
            </w:r>
          </w:p>
        </w:tc>
        <w:tc>
          <w:tcPr>
            <w:tcW w:w="1259" w:type="dxa"/>
          </w:tcPr>
          <w:p w:rsidR="0017327D" w:rsidRPr="005A26E7" w:rsidRDefault="0017327D" w:rsidP="004156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38%</w:t>
            </w:r>
          </w:p>
        </w:tc>
      </w:tr>
    </w:tbl>
    <w:p w:rsidR="0017327D" w:rsidRPr="005A26E7" w:rsidRDefault="0017327D" w:rsidP="0017327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17327D" w:rsidRPr="005A26E7" w:rsidRDefault="00B22CCA" w:rsidP="001732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Prijedlozi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koji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su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izneseni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javnoj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raspravi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Nacrt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zakona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samostalnim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preduzetnicima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kao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izjašnjenja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obrazloženja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vezi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sa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tim</w:t>
      </w:r>
      <w:r w:rsidR="0017327D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prijedlozima</w:t>
      </w:r>
      <w:r w:rsidR="008348B3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dati</w:t>
      </w:r>
      <w:r w:rsidR="008348B3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su</w:t>
      </w:r>
      <w:r w:rsidR="008348B3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kroz</w:t>
      </w:r>
      <w:r w:rsidR="008348B3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tabelarni</w:t>
      </w:r>
      <w:r w:rsidR="008348B3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prikaz</w:t>
      </w:r>
      <w:r w:rsidR="008348B3" w:rsidRPr="005A26E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17327D" w:rsidRPr="005A26E7" w:rsidRDefault="0017327D" w:rsidP="0017327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1600"/>
        <w:gridCol w:w="2374"/>
        <w:gridCol w:w="1558"/>
        <w:gridCol w:w="3636"/>
      </w:tblGrid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</w:tcPr>
          <w:p w:rsidR="008348B3" w:rsidRPr="005A26E7" w:rsidRDefault="00F3606F" w:rsidP="008348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RED</w:t>
            </w:r>
            <w:r w:rsidRPr="005A26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  <w:p w:rsidR="008348B3" w:rsidRPr="005A26E7" w:rsidRDefault="00F3606F" w:rsidP="008348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BROJ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F3606F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PREDLAGAČ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F3606F" w:rsidP="005A26E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PRIJEDLOG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F3606F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IZJAŠNЈENЈE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F3606F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OBRAZLOŽENЈE</w:t>
            </w:r>
          </w:p>
        </w:tc>
      </w:tr>
      <w:bookmarkEnd w:id="0"/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1F2EE9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Trebinje</w:t>
            </w:r>
            <w:r w:rsidR="001F2EE9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Odjelјenje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privredu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izmirene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jedinicima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lokalne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samouprave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komunalnim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preduzećima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uslov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prestanak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391BB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Usvajanje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iznesenog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imalo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poslјedicu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neažurirane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podatke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prekoračila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priroda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odgovornosti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stvarala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dugovanja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odgovornost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vrijeme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E463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Trebinje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Odjelјenje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privredu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zahtjevu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mogućnost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spolјnotrgovinskog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poslovanja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Tražena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mogućnost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propisaće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novom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pravilniku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uređuje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sadržaj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zahtjeva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Notarska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Republike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Srpske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Notarska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pristup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Centralnom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Djelimično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E46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zainteresovana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pregledati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preuzeti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podatke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internet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stranici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APIF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skladu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74.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10.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odredba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notarima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aktuelni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pregled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podataka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svoj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potpis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pečat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dokument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koriste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46348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skladu</w:t>
            </w:r>
            <w:r w:rsidR="00E46348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obavlјanjem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svojih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E463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Opština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Istočna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Ilidža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Odjelјenje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privredu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način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identifikovati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više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puta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registrovala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formi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E46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99.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="00E46348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5.</w:t>
            </w:r>
            <w:r w:rsidR="00E46348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zadužuje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Ministarstvo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identifikuje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navedena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navedene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podatke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dostavi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registracionim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organima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E463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Derventa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Odjelјenje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privredu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Dodati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izvještaje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vezi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promjenama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sjedišta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E46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72.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dopunjen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7.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kojim</w:t>
            </w:r>
            <w:r w:rsidR="00E46348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javna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objava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izvještaja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vezi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poslovanjem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način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traženi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izvještaji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Preduzetnica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pristupanje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zajedničkom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obavlјanju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slučaju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jedan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ortaka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ostvaruje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penziju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dopunjena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odredba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98.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propisana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mogućnost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pristupanja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ortaka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traženim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Preduzetnica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Dodati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izuzetak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istovremeno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registrovano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zajedničko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samostalno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može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nastaviti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osnova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99.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dopunjen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utvrđen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izuzetak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navedenom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nastavi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poslovanjem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osnovu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svoje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Derventa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Odjelјenje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privredu</w:t>
            </w:r>
          </w:p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348" w:rsidRPr="005A26E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članstvo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dobrovolјnoj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osnovi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veći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javnih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ovlašćenja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potrebna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joj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funkcionisanje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komorskog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sistema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E463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Opština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Šamac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Odjelјenje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privredu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može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poreske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obračunavaju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pravosnažnosti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rješenja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Ovo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pitanje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razmotreno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Ministarstvom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finansija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može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samostalnim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propisivati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početak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obračuna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poreskih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Preduzetnica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prenosa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vlasništva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notarsku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obradu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ugovora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zamijeniti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notarskom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ovjerom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potpisa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stranaka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Djelimično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64.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7.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utvrđen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izuzetak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prenosa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između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njegovog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bračnog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vanbračnog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supružnika</w:t>
            </w:r>
            <w:r w:rsidR="007661F8" w:rsidRPr="005A26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supružnika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bračne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vanbračne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usvojene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djece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potrebno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zaklјučiti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notarski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obrađen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ugovor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Odjelјenje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privredu</w:t>
            </w:r>
          </w:p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61F8" w:rsidRPr="005A26E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Izričito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korisnici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penzije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registrovati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osnovnog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zanimanja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17.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jasno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korisnik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penzije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može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registrovati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osnovnog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zanimanja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7661F8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  <w:r w:rsidR="007661F8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Odjelјenje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privredu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Razmotriti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državlјanin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može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registrovati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dopunskog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zanimanja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7661F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Važeći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odredba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17.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4,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kojom</w:t>
            </w:r>
            <w:r w:rsidR="007661F8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uređuju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uslovi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dopunskog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zanimanja</w:t>
            </w:r>
            <w:r w:rsidR="007661F8" w:rsidRPr="005A26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uskraćuje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mogućnost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angažovana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izvan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Republike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Srpske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registrovati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dopunskog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zanimanja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7661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Odjelјenje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privredu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Prilikom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utvrđivanja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dužine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samouslužnih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automata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autopraonica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stvaraju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automati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noći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14.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tačka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3)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kako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naglasilo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samouslužni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automati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časa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dnevno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uslovom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buka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stvaraju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prelazi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dozvolјene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vrijednosti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buke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CD25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Odjelјenje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privredu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postupku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utvrđivanja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prestanka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sili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pored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sjedišta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pismeno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upućivati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kućnu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adresu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63.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pismena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upućuju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adresu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prebivališta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odnosno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boravišta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CD25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Odjelјenje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privredu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postupku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elektronske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uvesti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mogućnost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davanja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punomoći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treće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budućeg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radnje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mogućnost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biće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izričito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propisana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podzakonskom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aktu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detalјnije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uređivati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postupak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elektronske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Zadržati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mogućnost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zajedničkog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Preduzetnik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individualno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organizovana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karakteriše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potpuna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povezanost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lične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imovine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njegovom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imovinom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druge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strane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osnovna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karakteristika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zajedničkog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partnerski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odnos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najmanje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Zbog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zajedničko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415644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415644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odražava</w:t>
            </w:r>
            <w:r w:rsidR="00415644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lični</w:t>
            </w:r>
            <w:r w:rsidR="00415644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individualni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karakter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forme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razloga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potrebno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ukinuti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mogućnost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dalјu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zajedničkog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veća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javna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ovlašćenja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Komoru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CD255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Zakonom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uspostavlјen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koncept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članstva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Ovaj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koncept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obezbjeđuje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izvor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finansiranja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istovremeno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podrazumijeva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javna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ovlašćenja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naplaćaju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slučaju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propisivanja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većih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javnih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ovlašćenja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doveo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pitanje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koncept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članstva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uvele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novčane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razloga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prihvatlјiv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izneseni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Uvesti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jedinica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lokalne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samouprave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pored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Ministarstva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preduzetništva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dostavlјa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certifikat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tradicionalnog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zanatskog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proizvoda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CD255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Ministarstvo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uspostavlјa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vodi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registar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status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tradicionalnog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Podaci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navedenim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biće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javno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dostupni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internet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stranici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Ministarstva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razloga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potrebe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dualitetom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uspostavlјanjem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vezi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navedenim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toga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pristup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Centralnom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kojem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dostupni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podaci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status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tradicionalnog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potrebe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dostavlјanjem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rješenja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pisanoj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formi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pravilo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odgovornost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ograničava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imovinu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preduzetničke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radnje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Propisivanje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ograničene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odgovornosti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zahtijevalo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izmjenu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procesa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odnosno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propisivanje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minimalnog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novčanog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što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definisano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privrednih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društava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Definisanje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ograničene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odgovornosti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imalo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uticaj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shvatanje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pojma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fizičkog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preduzetničku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svoje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svoj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račun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Činjenica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nastaju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vezi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poslovanjem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stvara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korist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štetu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predstavlјa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osnov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utvrđivanja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odgovornosti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cjelokupnom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imovinom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Uvesti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registracioni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organ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dostavlјa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rješenje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CD255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APIF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vodi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Centralni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registar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obuhvata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podatke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svim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registrovani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Republici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Srpskoj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razloga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potrebe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dualitetom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uspostavlјanjem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vezi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toga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pristup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Centralnom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način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dostupni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joj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svi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podaci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udruženja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komorskog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sistema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CD255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slučaju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iznesenog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sredstva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funkcionisanje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komorskog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sistema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dijelila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nivoa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Budući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raspolaže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skromnim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novčanim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sredstvima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uvođenje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još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jednog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potencijalnog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organizacionog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nivoa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komorski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sistem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uzrokovalo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veću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disperziju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sredstava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čime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ugrozilo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ostvarivanje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zadatka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razloga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može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izneseni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Ukinuti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naknadu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članove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upravnog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odbora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CD255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raspolaže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skromnim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novčanim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sredstvima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izneseni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skladu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pitanje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naknade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članovima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upravnog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odbora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rješavaće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internim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aktima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Preduzetnike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status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tradicionalnog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osloboditi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plaćanja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CD255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cilјem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promocije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očuvanja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tradicionalnih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zanata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87.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4,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kojim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statusom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tradicionalnog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plaća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godišnju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nadležna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nadzire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plaćanje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Zakonom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propisano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podnijeti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zahtjev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pokretanje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prekršajnog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postupka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protiv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plati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razloga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uvođenje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nadzire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plaćanje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ocijenjeno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nepotrebno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inspekcijski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nadzor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predstavlјao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dvostruku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kontrolu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vezi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ispunjavanjem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  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</w:p>
        </w:tc>
        <w:tc>
          <w:tcPr>
            <w:tcW w:w="2440" w:type="dxa"/>
            <w:shd w:val="clear" w:color="auto" w:fill="auto"/>
            <w:vAlign w:val="center"/>
          </w:tcPr>
          <w:p w:rsidR="00CD255B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Povećati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kaznu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neplaćanje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400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48B3" w:rsidRPr="005A26E7" w:rsidRDefault="008348B3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500 </w:t>
            </w:r>
            <w:r w:rsidR="00B22CCA">
              <w:rPr>
                <w:rFonts w:ascii="Times New Roman" w:hAnsi="Times New Roman" w:cs="Times New Roman"/>
                <w:sz w:val="20"/>
                <w:szCs w:val="20"/>
              </w:rPr>
              <w:t>KM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CD255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javnim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raspravama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ukazivano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trebalo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umanjiti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kazne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zato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povećanje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kazni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neplaćenu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visina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utvrđuje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prosječne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bruto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plate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mjesec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decembar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prethodnoj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godini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4961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Navedeni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povećao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Nacrtu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predviđeno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obračunava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2,5%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neto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plate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predstavlјa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prihvatlјivo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povećanje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članarina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bila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fiksnom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iznosu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Komore</w:t>
            </w:r>
            <w:r w:rsidR="00CD255B" w:rsidRPr="005A26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trenutno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40%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plaća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podatak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ukazuje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povećanjem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bila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naplata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može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loše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uticati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funkcionisanje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komorskog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sistema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zaštitni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element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sprovođenja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izvršnog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postupka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smislu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izvršenje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sprovodi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imovinom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potrebna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život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4961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Zakonom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izvršnom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postupku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propisano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predmet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izvršenja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predmeti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neophodni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potrebni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izvršeniku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članovima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njegove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porodice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zadovolјavanje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svakodnevnih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potreba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razloga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osnova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traženi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zaštitni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element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samostalnim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već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propisan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uređuje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izvršenje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Predstavnik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PZPK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</w:p>
          <w:p w:rsidR="008348B3" w:rsidRPr="005A26E7" w:rsidRDefault="008348B3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61A6" w:rsidRPr="005A26E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inspekcija</w:t>
            </w:r>
          </w:p>
          <w:p w:rsidR="008348B3" w:rsidRPr="005A26E7" w:rsidRDefault="008348B3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Smanjiti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visinu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kaznenih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odredaba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Iznosi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kaznenih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odredaba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predloženi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previsoko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odnosu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trenutno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cijena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tržištu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961A6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slučaju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smanjenja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visine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kaznenih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odredaba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izgubilo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njihovo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preventivno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dejstvo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nižim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iznosima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kazni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preduzetnici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prihvatili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plate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takve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kazne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nastave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istim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postupanjem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navedenih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razloga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prihvaćen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smanji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visina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kazni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kako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sankcija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efekat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posjedovanje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upotrebne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dozvole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uslov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provjerava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postupku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4D0B3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2007.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godine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koncept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zasniva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pretpostavlјenim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uslovima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vezi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prostorom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opremom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kadrom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Identičan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koncept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propisan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postupak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privrednih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društava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skladu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osnova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izneseni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registracioni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organ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poučava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stranke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uslovima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dužni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ispunjavaju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poslovanju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4D0B3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39.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izmijenjen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navedena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norma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zadužuje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registracione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organe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poučavaju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stranke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vezi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uslovima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određuje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vrsta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zanimanja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formi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drugim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registruju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sve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nadležne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pristup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Centralnom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dobijaju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podatke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preduzetnicima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73.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izmijenjen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6.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propisano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registracioni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organi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zahtjev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nadležne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dostavlјaju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podatke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način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utvrđivati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pretežna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89.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izmijenjena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tačka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precizirano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zaduženje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nadležnog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inspektora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neposrednom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pregledu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utvrdi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ostvaruje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najveći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oblasti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okviru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klasifikovana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njegova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pretežna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Cilј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norme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spriječiti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primjera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bude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registrovan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pretežnu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oblasti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proizvodnje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najveći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ostvaruje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osnovu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trgovine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visina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utvrđuje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ekonomskoj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snazi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4D0B3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Većina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samostalnih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mikropreduzetnici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zapošlјavaju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devet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radnika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odnosno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98,5%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ukupnog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broja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pokazuje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ekonomske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snage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manji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broj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plaćao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veću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članarinu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400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Republici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Srpskoj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ukupnog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broja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26.000).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Dodatno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preduzetnici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završne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račune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utvrđivali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prihodi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ekonomska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snaga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morala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utvrđivati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poreskim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obrascima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Opština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Novi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Odjelјenje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privredu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uspostaviti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pretpostavke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elektronsku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provjeru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ispunjenosti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postupku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procesu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izrade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4D0B3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preduzimaju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aktivnosti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koordinaciji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nadležnim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organima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kako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uspostavilo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tehničko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rješenje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omogućava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elektronsku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provjeru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ispunjenosti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uslova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postupku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registracije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iniciran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pisanim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putem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Uspostavlјanje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načina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provjere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ispunjenosti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dijela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svih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uslova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može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očekivati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tokom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2025.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godine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Definisati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način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određuje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izdvojene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jedinice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4D0B3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Način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definisanja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izdvojene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jedinice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utvrđen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30.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="004D0B3B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6.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7.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Poreska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uprava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prenosa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izmirenost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poreskih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uslov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ovaj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pravni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posao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3C3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65.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tački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izmirenost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poreskih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uslov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taj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može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prenijeti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poslovanje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drugo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čemu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drugo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izmirene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poreske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obaveze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Poreska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uprava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odredbe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propisuju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JIB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zadržava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korišćenja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instituta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prenosa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trajnog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nastavka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16251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osnovu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JIB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ostvaruje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kontinuitet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poslovanju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razloga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promjene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prenosa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potrebno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sticalac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zadržava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JIB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razloga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usaglašavanja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pravilima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oblasti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fiskalnog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sistema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65.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5.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tački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3)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riječi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: „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skladu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poreskim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propisima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“.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Notarska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prenos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može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obaviti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naknade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16251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162517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odredba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64.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tačka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4)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uređuje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elemente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ugovora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prenosu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dopunjena</w:t>
            </w:r>
            <w:r w:rsidR="00162517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162517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riječima</w:t>
            </w:r>
            <w:r w:rsidR="00162517" w:rsidRPr="005A26E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„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konstataciju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prenos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naknade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“.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Notarska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komora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Propisati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privremenog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nastavka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smrti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dostavlјa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notarski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obrađena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izjava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naslјednika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nastavku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Djelimično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Institut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privremenog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nastavka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obavlјanja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vremenski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ograničen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okončanja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ostavinskog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postupka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razloga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instituta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dovolјna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ovjerena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izjava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naslјednika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Bijelјina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2517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inspekcija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način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utvrđuje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vrsta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zanimanja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obavlјaju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putem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automata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Obrađeno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Zakonu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16251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Vrsta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zanimanja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određuje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radno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pravnom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drugom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statusu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pravilu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bitna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vrsta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djelatnosti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8B3" w:rsidRPr="005A26E7" w:rsidTr="00415644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:rsidR="008348B3" w:rsidRPr="005A26E7" w:rsidRDefault="008348B3" w:rsidP="00834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6E7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Komunalna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policija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8348B3" w:rsidRPr="005A26E7" w:rsidRDefault="00B22CCA" w:rsidP="005A26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Preispitati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potrebno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navoditi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komunalnu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policiju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tijelo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obavlјa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nadzor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nad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poslovanjem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Prihvata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348B3" w:rsidRPr="005A26E7" w:rsidRDefault="00B22CCA" w:rsidP="00834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članu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88.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Prijedloga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riječi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: „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vezi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postavlјanjem</w:t>
            </w:r>
            <w:proofErr w:type="spellEnd"/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uklanjanjem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poslovnog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radnog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vremena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preduzetnika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“,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radi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konkretizacije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nadležnosti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koje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komunalna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policija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skladu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ovim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zakonom</w:t>
            </w:r>
            <w:r w:rsidR="008348B3" w:rsidRPr="005A26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7327D" w:rsidRPr="005A26E7" w:rsidRDefault="0017327D" w:rsidP="001732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17327D" w:rsidRPr="005A26E7" w:rsidRDefault="0017327D" w:rsidP="00173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7327D" w:rsidRPr="005A26E7" w:rsidRDefault="00B22CCA" w:rsidP="0017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kraju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važno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istaći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rasprave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uspješno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organizovane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sprovedene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ocijenjeno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učesnici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rasprave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pažlјivo</w:t>
      </w:r>
      <w:proofErr w:type="spellEnd"/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proučili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Nacrt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samostalnim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preduzetnicima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svojim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konstruktivnim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prijedlozima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značajan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doprinos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izradi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Prijedloga</w:t>
      </w:r>
      <w:r w:rsidR="0017327D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91671F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91671F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samostalnim</w:t>
      </w:r>
      <w:r w:rsidR="0091671F" w:rsidRPr="005A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preduzetnicima</w:t>
      </w:r>
      <w:r w:rsidR="0017327D" w:rsidRPr="005A26E7">
        <w:rPr>
          <w:rFonts w:ascii="Times New Roman" w:hAnsi="Times New Roman" w:cs="Times New Roman"/>
          <w:sz w:val="24"/>
          <w:szCs w:val="24"/>
        </w:rPr>
        <w:t>.</w:t>
      </w:r>
    </w:p>
    <w:p w:rsidR="0017327D" w:rsidRPr="005A26E7" w:rsidRDefault="0017327D" w:rsidP="0017327D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7327D" w:rsidRPr="005A26E7" w:rsidRDefault="0017327D" w:rsidP="0017327D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693"/>
        <w:gridCol w:w="3402"/>
      </w:tblGrid>
      <w:tr w:rsidR="0017327D" w:rsidRPr="005A26E7" w:rsidTr="00415644">
        <w:tc>
          <w:tcPr>
            <w:tcW w:w="3681" w:type="dxa"/>
          </w:tcPr>
          <w:p w:rsidR="0017327D" w:rsidRPr="005A26E7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27D" w:rsidRPr="005A26E7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7327D" w:rsidRPr="005A26E7" w:rsidRDefault="00B22CCA" w:rsidP="00415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MINISTAR</w:t>
            </w:r>
          </w:p>
        </w:tc>
      </w:tr>
      <w:tr w:rsidR="0017327D" w:rsidRPr="005A26E7" w:rsidTr="00415644">
        <w:tc>
          <w:tcPr>
            <w:tcW w:w="3681" w:type="dxa"/>
          </w:tcPr>
          <w:p w:rsidR="0017327D" w:rsidRPr="005A26E7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27D" w:rsidRPr="005A26E7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7327D" w:rsidRPr="005A26E7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7D" w:rsidRPr="005A26E7" w:rsidTr="00415644">
        <w:tc>
          <w:tcPr>
            <w:tcW w:w="3681" w:type="dxa"/>
          </w:tcPr>
          <w:p w:rsidR="0017327D" w:rsidRPr="005A26E7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27D" w:rsidRPr="005A26E7" w:rsidRDefault="0017327D" w:rsidP="004156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7327D" w:rsidRPr="005A26E7" w:rsidRDefault="00B22CCA" w:rsidP="00415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Vojin</w:t>
            </w:r>
            <w:r w:rsidR="0017327D" w:rsidRPr="005A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Mitrović</w:t>
            </w:r>
          </w:p>
        </w:tc>
      </w:tr>
    </w:tbl>
    <w:p w:rsidR="0017327D" w:rsidRPr="005A26E7" w:rsidRDefault="0017327D" w:rsidP="0017327D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7327D" w:rsidRPr="005A26E7" w:rsidRDefault="0017327D" w:rsidP="0017327D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7327D" w:rsidRPr="005A26E7" w:rsidRDefault="0017327D" w:rsidP="0017327D">
      <w:pPr>
        <w:jc w:val="both"/>
        <w:rPr>
          <w:rFonts w:ascii="Times New Roman" w:eastAsia="Times New Roman" w:hAnsi="Times New Roman" w:cs="Times New Roman"/>
          <w:lang w:eastAsia="ar-SA"/>
        </w:rPr>
      </w:pPr>
    </w:p>
    <w:p w:rsidR="00310196" w:rsidRPr="005A26E7" w:rsidRDefault="00310196">
      <w:pPr>
        <w:rPr>
          <w:rFonts w:ascii="Times New Roman" w:hAnsi="Times New Roman" w:cs="Times New Roman"/>
        </w:rPr>
      </w:pPr>
    </w:p>
    <w:sectPr w:rsidR="00310196" w:rsidRPr="005A26E7" w:rsidSect="00415644">
      <w:pgSz w:w="11906" w:h="16838" w:code="9"/>
      <w:pgMar w:top="56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0327D"/>
    <w:multiLevelType w:val="hybridMultilevel"/>
    <w:tmpl w:val="2AC65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27D"/>
    <w:rsid w:val="000A160C"/>
    <w:rsid w:val="000C4E05"/>
    <w:rsid w:val="00162517"/>
    <w:rsid w:val="0017327D"/>
    <w:rsid w:val="001F2EE9"/>
    <w:rsid w:val="00310196"/>
    <w:rsid w:val="00391BB1"/>
    <w:rsid w:val="003C338B"/>
    <w:rsid w:val="00415644"/>
    <w:rsid w:val="004961A6"/>
    <w:rsid w:val="004D0B3B"/>
    <w:rsid w:val="005A26E7"/>
    <w:rsid w:val="007661F8"/>
    <w:rsid w:val="008348B3"/>
    <w:rsid w:val="0091671F"/>
    <w:rsid w:val="00B22CCA"/>
    <w:rsid w:val="00BD4382"/>
    <w:rsid w:val="00CD255B"/>
    <w:rsid w:val="00E46348"/>
    <w:rsid w:val="00F3606F"/>
    <w:rsid w:val="00F8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7567C0-50C6-431E-9435-7702F6C4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27D"/>
    <w:rPr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27D"/>
    <w:pPr>
      <w:ind w:left="720"/>
      <w:contextualSpacing/>
    </w:pPr>
  </w:style>
  <w:style w:type="table" w:styleId="TableGrid">
    <w:name w:val="Table Grid"/>
    <w:basedOn w:val="TableNormal"/>
    <w:uiPriority w:val="39"/>
    <w:rsid w:val="0017327D"/>
    <w:pPr>
      <w:spacing w:after="0" w:line="240" w:lineRule="auto"/>
    </w:pPr>
    <w:rPr>
      <w:lang w:val="sr-Cyrl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17327D"/>
    <w:pPr>
      <w:tabs>
        <w:tab w:val="left" w:pos="720"/>
      </w:tabs>
      <w:suppressAutoHyphens/>
      <w:spacing w:before="120" w:after="120" w:line="100" w:lineRule="atLeast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55417-816D-4B53-B04F-8A40974C7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3198</Words>
  <Characters>18231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Rajko Lajic</dc:creator>
  <cp:keywords/>
  <dc:description/>
  <cp:lastModifiedBy>Helena Radulj</cp:lastModifiedBy>
  <cp:revision>2</cp:revision>
  <dcterms:created xsi:type="dcterms:W3CDTF">2024-08-07T07:40:00Z</dcterms:created>
  <dcterms:modified xsi:type="dcterms:W3CDTF">2024-08-07T07:40:00Z</dcterms:modified>
</cp:coreProperties>
</file>